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ACB" w:rsidRPr="00E24112" w:rsidRDefault="00C25ACB" w:rsidP="00C25ACB">
      <w:pPr>
        <w:pStyle w:val="MDPI62BackMatter"/>
        <w:spacing w:before="240"/>
        <w:ind w:left="0"/>
        <w:rPr>
          <w:rFonts w:ascii="Arial" w:hAnsi="Arial" w:cs="Arial"/>
          <w:b/>
          <w:color w:val="auto"/>
          <w:sz w:val="22"/>
          <w:szCs w:val="22"/>
        </w:rPr>
      </w:pPr>
      <w:r w:rsidRPr="00E24112">
        <w:rPr>
          <w:rFonts w:ascii="Arial" w:hAnsi="Arial" w:cs="Arial"/>
          <w:b/>
          <w:color w:val="auto"/>
          <w:sz w:val="22"/>
          <w:szCs w:val="22"/>
        </w:rPr>
        <w:t>Supplementary Materials</w:t>
      </w:r>
    </w:p>
    <w:p w:rsidR="00C25ACB" w:rsidRPr="00E24112" w:rsidRDefault="00C25ACB" w:rsidP="00C25ACB">
      <w:pPr>
        <w:pStyle w:val="MDPI62BackMatter"/>
        <w:snapToGrid/>
        <w:spacing w:after="0" w:line="240" w:lineRule="auto"/>
        <w:ind w:left="0"/>
        <w:rPr>
          <w:rFonts w:ascii="Arial" w:hAnsi="Arial" w:cs="Arial"/>
          <w:color w:val="auto"/>
          <w:sz w:val="22"/>
          <w:szCs w:val="22"/>
        </w:rPr>
      </w:pPr>
      <w:r w:rsidRPr="00E24112">
        <w:rPr>
          <w:rFonts w:ascii="Arial" w:hAnsi="Arial" w:cs="Arial"/>
          <w:color w:val="auto"/>
          <w:sz w:val="22"/>
          <w:szCs w:val="22"/>
        </w:rPr>
        <w:t xml:space="preserve">Figure S1: </w:t>
      </w:r>
      <w:r w:rsidRPr="00E24112">
        <w:rPr>
          <w:rFonts w:ascii="Arial" w:hAnsi="Arial" w:cs="Arial"/>
          <w:color w:val="auto"/>
          <w:sz w:val="22"/>
        </w:rPr>
        <w:t>Survival analysis using the Kaplan-Meier plotter</w:t>
      </w:r>
    </w:p>
    <w:p w:rsidR="00C25ACB" w:rsidRPr="00E24112" w:rsidRDefault="00C25ACB" w:rsidP="00C25ACB">
      <w:pPr>
        <w:pStyle w:val="MDPI62BackMatter"/>
        <w:snapToGrid/>
        <w:spacing w:after="0" w:line="240" w:lineRule="auto"/>
        <w:ind w:left="0"/>
        <w:rPr>
          <w:rFonts w:ascii="Arial" w:hAnsi="Arial" w:cs="Arial"/>
          <w:color w:val="auto"/>
          <w:sz w:val="22"/>
        </w:rPr>
      </w:pPr>
      <w:r w:rsidRPr="00E24112">
        <w:rPr>
          <w:rFonts w:ascii="Arial" w:hAnsi="Arial" w:cs="Arial"/>
          <w:color w:val="auto"/>
          <w:sz w:val="22"/>
          <w:szCs w:val="22"/>
        </w:rPr>
        <w:t xml:space="preserve">Figure S2: </w:t>
      </w:r>
      <w:r w:rsidRPr="00E24112">
        <w:rPr>
          <w:rFonts w:ascii="Arial" w:hAnsi="Arial" w:cs="Arial"/>
          <w:color w:val="auto"/>
          <w:sz w:val="22"/>
        </w:rPr>
        <w:t>Survival analysis</w:t>
      </w:r>
      <w:r w:rsidRPr="00E24112">
        <w:rPr>
          <w:rFonts w:ascii="Arial" w:hAnsi="Arial" w:cs="Arial"/>
          <w:color w:val="auto"/>
          <w:sz w:val="22"/>
          <w:szCs w:val="22"/>
        </w:rPr>
        <w:t xml:space="preserve"> based on GEO datasets </w:t>
      </w:r>
      <w:r w:rsidRPr="00E24112">
        <w:rPr>
          <w:rFonts w:ascii="Arial" w:hAnsi="Arial" w:cs="Arial"/>
          <w:color w:val="auto"/>
          <w:sz w:val="22"/>
        </w:rPr>
        <w:t xml:space="preserve">using </w:t>
      </w:r>
      <w:proofErr w:type="spellStart"/>
      <w:r w:rsidRPr="00E24112">
        <w:rPr>
          <w:rFonts w:ascii="Arial" w:hAnsi="Arial" w:cs="Arial"/>
          <w:color w:val="auto"/>
          <w:sz w:val="22"/>
        </w:rPr>
        <w:t>prognoscan</w:t>
      </w:r>
      <w:proofErr w:type="spellEnd"/>
    </w:p>
    <w:p w:rsidR="00C25ACB" w:rsidRPr="00E24112" w:rsidRDefault="00C25ACB" w:rsidP="00C25ACB">
      <w:pPr>
        <w:pStyle w:val="MDPI62BackMatter"/>
        <w:snapToGrid/>
        <w:spacing w:after="0" w:line="240" w:lineRule="auto"/>
        <w:ind w:left="0"/>
        <w:rPr>
          <w:rFonts w:ascii="Arial" w:hAnsi="Arial" w:cs="Arial"/>
          <w:color w:val="auto"/>
          <w:sz w:val="22"/>
          <w:szCs w:val="22"/>
        </w:rPr>
      </w:pPr>
      <w:r w:rsidRPr="00E24112">
        <w:rPr>
          <w:rFonts w:ascii="Arial" w:hAnsi="Arial" w:cs="Arial"/>
          <w:color w:val="auto"/>
          <w:sz w:val="22"/>
          <w:szCs w:val="22"/>
        </w:rPr>
        <w:t xml:space="preserve">Figure S3: </w:t>
      </w:r>
      <w:r w:rsidRPr="00E24112">
        <w:rPr>
          <w:rFonts w:ascii="Arial" w:hAnsi="Arial" w:cs="Arial"/>
          <w:color w:val="auto"/>
          <w:sz w:val="22"/>
        </w:rPr>
        <w:t>Stage-specific OS analysis</w:t>
      </w:r>
    </w:p>
    <w:p w:rsidR="00C25ACB" w:rsidRPr="00E24112" w:rsidRDefault="00C25ACB" w:rsidP="00C25ACB">
      <w:pPr>
        <w:pStyle w:val="MDPI62BackMatter"/>
        <w:snapToGrid/>
        <w:spacing w:after="0" w:line="240" w:lineRule="auto"/>
        <w:ind w:left="0"/>
        <w:rPr>
          <w:rFonts w:ascii="Arial" w:hAnsi="Arial" w:cs="Arial"/>
          <w:color w:val="auto"/>
          <w:sz w:val="22"/>
          <w:szCs w:val="22"/>
        </w:rPr>
      </w:pPr>
      <w:r w:rsidRPr="00E24112">
        <w:rPr>
          <w:rFonts w:ascii="Arial" w:hAnsi="Arial" w:cs="Arial"/>
          <w:color w:val="auto"/>
          <w:sz w:val="22"/>
          <w:szCs w:val="22"/>
        </w:rPr>
        <w:t xml:space="preserve">Figure S4: </w:t>
      </w:r>
      <w:r w:rsidRPr="00E24112">
        <w:rPr>
          <w:rFonts w:ascii="Arial" w:hAnsi="Arial" w:cs="Arial"/>
          <w:color w:val="auto"/>
          <w:sz w:val="22"/>
        </w:rPr>
        <w:t>Stage- specific immune infiltration analysis</w:t>
      </w:r>
    </w:p>
    <w:p w:rsidR="00C25ACB" w:rsidRPr="00E24112" w:rsidRDefault="00C25ACB" w:rsidP="00C25ACB">
      <w:pPr>
        <w:pStyle w:val="MDPI62BackMatter"/>
        <w:snapToGrid/>
        <w:spacing w:after="0" w:line="240" w:lineRule="auto"/>
        <w:ind w:left="0"/>
        <w:rPr>
          <w:rFonts w:ascii="Arial" w:hAnsi="Arial" w:cs="Arial"/>
          <w:color w:val="auto"/>
          <w:sz w:val="22"/>
          <w:szCs w:val="22"/>
        </w:rPr>
      </w:pPr>
      <w:r w:rsidRPr="00E24112">
        <w:rPr>
          <w:rFonts w:ascii="Arial" w:hAnsi="Arial" w:cs="Arial"/>
          <w:color w:val="auto"/>
          <w:sz w:val="22"/>
          <w:szCs w:val="22"/>
        </w:rPr>
        <w:t xml:space="preserve">Figure S5: </w:t>
      </w:r>
      <w:r w:rsidRPr="00E24112">
        <w:rPr>
          <w:rFonts w:ascii="Arial" w:hAnsi="Arial" w:cs="Arial"/>
          <w:color w:val="auto"/>
          <w:sz w:val="22"/>
        </w:rPr>
        <w:t>Stage- specific immune checkpoint analysis</w:t>
      </w:r>
    </w:p>
    <w:p w:rsidR="00C25ACB" w:rsidRPr="00E24112" w:rsidRDefault="00C25ACB" w:rsidP="00C25ACB">
      <w:pPr>
        <w:pStyle w:val="MDPI62BackMatter"/>
        <w:snapToGrid/>
        <w:spacing w:after="0" w:line="240" w:lineRule="auto"/>
        <w:ind w:left="0"/>
        <w:rPr>
          <w:rFonts w:ascii="Arial" w:hAnsi="Arial" w:cs="Arial"/>
          <w:color w:val="auto"/>
          <w:sz w:val="22"/>
          <w:szCs w:val="22"/>
        </w:rPr>
      </w:pPr>
      <w:r w:rsidRPr="00E24112">
        <w:rPr>
          <w:rFonts w:ascii="Arial" w:hAnsi="Arial" w:cs="Arial"/>
          <w:color w:val="auto"/>
          <w:sz w:val="22"/>
          <w:szCs w:val="22"/>
        </w:rPr>
        <w:t xml:space="preserve">Figure S6: </w:t>
      </w:r>
      <w:r w:rsidRPr="00E24112">
        <w:rPr>
          <w:rFonts w:ascii="Arial" w:hAnsi="Arial" w:cs="Arial"/>
          <w:color w:val="auto"/>
          <w:sz w:val="22"/>
        </w:rPr>
        <w:t>The</w:t>
      </w:r>
      <w:r w:rsidRPr="00E24112">
        <w:rPr>
          <w:rFonts w:ascii="Arial" w:eastAsia="SimSun" w:hAnsi="Arial" w:cs="Arial"/>
          <w:color w:val="auto"/>
          <w:sz w:val="22"/>
        </w:rPr>
        <w:t xml:space="preserve"> </w:t>
      </w:r>
      <w:r w:rsidRPr="00E24112">
        <w:rPr>
          <w:rFonts w:ascii="Arial" w:hAnsi="Arial" w:cs="Arial"/>
          <w:color w:val="auto"/>
          <w:sz w:val="22"/>
        </w:rPr>
        <w:t>GO enrichment analysis of ACTB-related partners</w:t>
      </w:r>
    </w:p>
    <w:p w:rsidR="00C25ACB" w:rsidRPr="00E24112" w:rsidRDefault="00C25ACB" w:rsidP="00C25ACB">
      <w:pPr>
        <w:pStyle w:val="MDPI62BackMatter"/>
        <w:snapToGrid/>
        <w:spacing w:after="0" w:line="240" w:lineRule="auto"/>
        <w:ind w:left="0"/>
        <w:rPr>
          <w:rFonts w:ascii="Arial" w:hAnsi="Arial" w:cs="Arial"/>
          <w:color w:val="auto"/>
          <w:sz w:val="22"/>
          <w:szCs w:val="22"/>
        </w:rPr>
      </w:pPr>
      <w:r w:rsidRPr="00E24112">
        <w:rPr>
          <w:rFonts w:ascii="Arial" w:hAnsi="Arial" w:cs="Arial"/>
          <w:color w:val="auto"/>
          <w:sz w:val="22"/>
          <w:szCs w:val="22"/>
        </w:rPr>
        <w:t>Table S1:</w:t>
      </w:r>
      <w:r w:rsidRPr="00E24112">
        <w:rPr>
          <w:color w:val="auto"/>
        </w:rPr>
        <w:t xml:space="preserve"> </w:t>
      </w:r>
      <w:r w:rsidRPr="00E24112">
        <w:rPr>
          <w:rFonts w:ascii="Arial" w:hAnsi="Arial" w:cs="Arial"/>
          <w:color w:val="auto"/>
          <w:sz w:val="22"/>
          <w:szCs w:val="22"/>
        </w:rPr>
        <w:t>The detailed information about the functional relevance of ACTB</w:t>
      </w:r>
    </w:p>
    <w:p w:rsidR="00D24074" w:rsidRDefault="00C25ACB">
      <w:bookmarkStart w:id="0" w:name="_GoBack"/>
      <w:bookmarkEnd w:id="0"/>
    </w:p>
    <w:sectPr w:rsidR="00D240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ACB"/>
    <w:rsid w:val="00A24F84"/>
    <w:rsid w:val="00BE41D3"/>
    <w:rsid w:val="00C2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62BackMatter">
    <w:name w:val="MDPI_6.2_BackMatter"/>
    <w:qFormat/>
    <w:rsid w:val="00C25ACB"/>
    <w:pPr>
      <w:adjustRightInd w:val="0"/>
      <w:snapToGrid w:val="0"/>
      <w:spacing w:after="12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62BackMatter">
    <w:name w:val="MDPI_6.2_BackMatter"/>
    <w:qFormat/>
    <w:rsid w:val="00C25ACB"/>
    <w:pPr>
      <w:adjustRightInd w:val="0"/>
      <w:snapToGrid w:val="0"/>
      <w:spacing w:after="12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Shobana Velmurugan, Integra-PDY, IN</dc:creator>
  <cp:lastModifiedBy>Shobana Velmurugan, Integra-PDY, IN</cp:lastModifiedBy>
  <cp:revision>1</cp:revision>
  <dcterms:created xsi:type="dcterms:W3CDTF">2021-08-25T11:14:00Z</dcterms:created>
  <dcterms:modified xsi:type="dcterms:W3CDTF">2021-08-25T11:14:00Z</dcterms:modified>
</cp:coreProperties>
</file>